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18"/>
        </w:rPr>
        <w:t xml:space="preserve">Готовое решение:</w:t>
      </w:r>
    </w:p>
    <w:p>
      <w:pPr>
        <w:pStyle w:val="0"/>
      </w:pPr>
      <w:hyperlink w:history="0" r:id="rId4" w:tooltip="Готовое решение: Когда нужно согласие должника на уступку требования и как его оформить (КонсультантПлюс, 2024) {КонсультантПлюс}">
        <w:r>
          <w:rPr>
            <w:sz w:val="20"/>
            <w:color w:val="0000ff"/>
          </w:rPr>
          <w:t xml:space="preserve">Когда нужно согласие должника на уступку требования и как его оформить</w:t>
        </w:r>
      </w:hyperlink>
    </w:p>
    <w:p>
      <w:pPr>
        <w:pStyle w:val="0"/>
      </w:pPr>
      <w:r>
        <w:rPr>
          <w:sz w:val="18"/>
        </w:rPr>
        <w:t xml:space="preserve">(КонсультантПлюс, 2024)</w:t>
      </w:r>
    </w:p>
    <w:p>
      <w:pPr>
        <w:pBdr>
          <w:left w:val="single" w:sz="16" w:color="7f7f7f"/>
        </w:pBdr>
        <w:pStyle w:val="0"/>
        <w:ind w:left="540"/>
      </w:pPr>
      <w:r>
        <w:rPr>
          <w:sz w:val="18"/>
        </w:rPr>
        <w:t xml:space="preserve">Правило п. 2 ст. 388 ГК РФ о недопустимости уступки без согласия должника, для которого личность кредитора имеет существенное значение, в данном случае не применяется. </w:t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Список документов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23.07.2024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	<Relationship Id="rId4" Type="http://schemas.openxmlformats.org/officeDocument/2006/relationships/hyperlink" Target="https://login.consultant.ru/link/?req=doc&amp;base=CJI&amp;n=11918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4024.00.30</Application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документов</dc:title>
  <dcterms:created xsi:type="dcterms:W3CDTF">2024-07-23T09:47:41Z</dcterms:created>
</cp:coreProperties>
</file>